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150FC" w14:textId="77777777" w:rsidR="00447302" w:rsidRDefault="00447302" w:rsidP="00C9473A">
      <w:pPr>
        <w:rPr>
          <w:rFonts w:ascii="Times New Roman" w:eastAsia="Times New Roman" w:hAnsi="Times New Roman" w:cs="Times New Roman"/>
          <w:color w:val="000000"/>
          <w:sz w:val="24"/>
          <w:szCs w:val="24"/>
          <w:lang w:eastAsia="en-GB"/>
        </w:rPr>
      </w:pPr>
    </w:p>
    <w:p w14:paraId="6FB9714E" w14:textId="77777777" w:rsidR="00447302" w:rsidRDefault="00447302" w:rsidP="00447302">
      <w:pPr>
        <w:jc w:val="center"/>
        <w:rPr>
          <w:rFonts w:ascii="Times New Roman" w:eastAsia="Times New Roman" w:hAnsi="Times New Roman" w:cs="Times New Roman"/>
          <w:color w:val="000000"/>
          <w:sz w:val="24"/>
          <w:szCs w:val="24"/>
          <w:lang w:eastAsia="en-GB"/>
        </w:rPr>
      </w:pPr>
    </w:p>
    <w:p w14:paraId="08B9BCED" w14:textId="77777777" w:rsidR="00447302" w:rsidRDefault="00447302" w:rsidP="00447302">
      <w:pPr>
        <w:jc w:val="center"/>
        <w:rPr>
          <w:rFonts w:ascii="Times New Roman" w:eastAsia="Times New Roman" w:hAnsi="Times New Roman" w:cs="Times New Roman"/>
          <w:color w:val="000000"/>
          <w:sz w:val="24"/>
          <w:szCs w:val="24"/>
          <w:lang w:eastAsia="en-GB"/>
        </w:rPr>
      </w:pPr>
    </w:p>
    <w:p w14:paraId="58918E49" w14:textId="77777777" w:rsidR="00447302" w:rsidRDefault="00447302" w:rsidP="00447302">
      <w:pPr>
        <w:spacing w:line="480" w:lineRule="auto"/>
        <w:jc w:val="center"/>
        <w:rPr>
          <w:rFonts w:ascii="Times New Roman" w:hAnsi="Times New Roman" w:cs="Times New Roman"/>
          <w:b/>
          <w:sz w:val="24"/>
        </w:rPr>
      </w:pPr>
    </w:p>
    <w:p w14:paraId="630C7D94" w14:textId="5AF3D085" w:rsidR="00447302" w:rsidRPr="008A08AE" w:rsidRDefault="007827DA" w:rsidP="0044730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Swot Analysis</w:t>
      </w:r>
    </w:p>
    <w:p w14:paraId="713A88A7" w14:textId="77777777" w:rsidR="00447302" w:rsidRPr="008A08AE" w:rsidRDefault="00447302" w:rsidP="0044730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Name of Student:</w:t>
      </w:r>
    </w:p>
    <w:p w14:paraId="6D997277" w14:textId="77777777" w:rsidR="00447302" w:rsidRPr="008A08AE" w:rsidRDefault="00447302" w:rsidP="0044730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Instructor's Name:</w:t>
      </w:r>
    </w:p>
    <w:p w14:paraId="32C92C8D" w14:textId="77777777" w:rsidR="00447302" w:rsidRPr="008A08AE" w:rsidRDefault="00447302" w:rsidP="0044730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Institutional Affiliation:</w:t>
      </w:r>
    </w:p>
    <w:p w14:paraId="6ABEF7A9" w14:textId="77777777" w:rsidR="00447302" w:rsidRPr="008A08AE" w:rsidRDefault="00447302" w:rsidP="0044730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Course Title:</w:t>
      </w:r>
    </w:p>
    <w:p w14:paraId="3B2FF173" w14:textId="77777777" w:rsidR="00447302" w:rsidRPr="008A08AE" w:rsidRDefault="00447302" w:rsidP="0044730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Date:</w:t>
      </w:r>
    </w:p>
    <w:p w14:paraId="3A62E3F1" w14:textId="383C9F58" w:rsidR="00447302" w:rsidRDefault="00447302" w:rsidP="00447302">
      <w:pPr>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br w:type="page"/>
      </w:r>
    </w:p>
    <w:p w14:paraId="190A6711" w14:textId="05576989" w:rsidR="001875AB" w:rsidRPr="00BA31BD" w:rsidRDefault="00BA31BD"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r w:rsidRPr="00BA31BD">
        <w:rPr>
          <w:rFonts w:ascii="Times New Roman" w:eastAsia="Times New Roman" w:hAnsi="Times New Roman" w:cs="Times New Roman"/>
          <w:b/>
          <w:bCs/>
          <w:color w:val="000000"/>
          <w:sz w:val="24"/>
          <w:szCs w:val="24"/>
          <w:lang w:eastAsia="en-GB"/>
        </w:rPr>
        <w:lastRenderedPageBreak/>
        <w:t>Introduction</w:t>
      </w:r>
      <w:r w:rsidR="001875AB" w:rsidRPr="00BA31BD">
        <w:rPr>
          <w:rFonts w:ascii="Times New Roman" w:eastAsia="Times New Roman" w:hAnsi="Times New Roman" w:cs="Times New Roman"/>
          <w:b/>
          <w:bCs/>
          <w:color w:val="000000"/>
          <w:sz w:val="24"/>
          <w:szCs w:val="24"/>
          <w:lang w:eastAsia="en-GB"/>
        </w:rPr>
        <w:t xml:space="preserve"> </w:t>
      </w:r>
    </w:p>
    <w:p w14:paraId="3F20BD3C" w14:textId="141796E2" w:rsidR="001875AB" w:rsidRPr="001875AB" w:rsidRDefault="001875AB" w:rsidP="001875AB">
      <w:pPr>
        <w:shd w:val="clear" w:color="auto" w:fill="FFFFFF"/>
        <w:spacing w:after="0" w:line="480" w:lineRule="auto"/>
        <w:ind w:firstLine="720"/>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 xml:space="preserve">A SWOT analysis helps businesses in identifying the sectors that are performing well in their business. Identification of these analytical areas will form the basic achievement variable for my food truck Tousy Nittery. Recognition of these areas will help Tousy Nittery keep up with them so that we don't lose an upper hand in the food truck business. As a business, we will need to develop policies </w:t>
      </w:r>
      <w:r w:rsidR="00594436">
        <w:rPr>
          <w:rFonts w:ascii="Times New Roman" w:eastAsia="Times New Roman" w:hAnsi="Times New Roman" w:cs="Times New Roman"/>
          <w:color w:val="000000"/>
          <w:sz w:val="24"/>
          <w:szCs w:val="24"/>
          <w:lang w:eastAsia="en-GB"/>
        </w:rPr>
        <w:t xml:space="preserve">to </w:t>
      </w:r>
      <w:r w:rsidRPr="001875AB">
        <w:rPr>
          <w:rFonts w:ascii="Times New Roman" w:eastAsia="Times New Roman" w:hAnsi="Times New Roman" w:cs="Times New Roman"/>
          <w:color w:val="000000"/>
          <w:sz w:val="24"/>
          <w:szCs w:val="24"/>
          <w:lang w:eastAsia="en-GB"/>
        </w:rPr>
        <w:t>address our shortcomings depicted by the SWOT analysis.  In this paper, we shall talk about the Tousy Nittery SWOT analysis.</w:t>
      </w:r>
    </w:p>
    <w:p w14:paraId="66087A44" w14:textId="77777777" w:rsidR="001875AB" w:rsidRPr="001875AB" w:rsidRDefault="001875AB"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r w:rsidRPr="001875AB">
        <w:rPr>
          <w:rFonts w:ascii="Times New Roman" w:eastAsia="Times New Roman" w:hAnsi="Times New Roman" w:cs="Times New Roman"/>
          <w:b/>
          <w:bCs/>
          <w:color w:val="000000"/>
          <w:sz w:val="24"/>
          <w:szCs w:val="24"/>
          <w:lang w:eastAsia="en-GB"/>
        </w:rPr>
        <w:t>Strengths of Tousy Nittery</w:t>
      </w:r>
    </w:p>
    <w:p w14:paraId="6E4769E0" w14:textId="7E317E60" w:rsidR="001875AB" w:rsidRP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 xml:space="preserve">Tousy Nittery will have two menus to cater to our patrons' varied palates </w:t>
      </w:r>
      <w:sdt>
        <w:sdtPr>
          <w:rPr>
            <w:rFonts w:ascii="Times New Roman" w:eastAsia="Times New Roman" w:hAnsi="Times New Roman" w:cs="Times New Roman"/>
            <w:color w:val="000000"/>
            <w:sz w:val="24"/>
            <w:szCs w:val="24"/>
            <w:lang w:eastAsia="en-GB"/>
          </w:rPr>
          <w:id w:val="-1342850937"/>
          <w:citation/>
        </w:sdtPr>
        <w:sdtEndPr/>
        <w:sdtContent>
          <w:r w:rsidR="00AD5552">
            <w:rPr>
              <w:rFonts w:ascii="Times New Roman" w:eastAsia="Times New Roman" w:hAnsi="Times New Roman" w:cs="Times New Roman"/>
              <w:color w:val="000000"/>
              <w:sz w:val="24"/>
              <w:szCs w:val="24"/>
              <w:lang w:eastAsia="en-GB"/>
            </w:rPr>
            <w:fldChar w:fldCharType="begin"/>
          </w:r>
          <w:r w:rsidR="00AD5552">
            <w:rPr>
              <w:rFonts w:ascii="Times New Roman" w:eastAsia="Times New Roman" w:hAnsi="Times New Roman" w:cs="Times New Roman"/>
              <w:color w:val="000000"/>
              <w:sz w:val="24"/>
              <w:szCs w:val="24"/>
              <w:lang w:eastAsia="en-GB"/>
            </w:rPr>
            <w:instrText xml:space="preserve"> CITATION Bor17 \l 2057 </w:instrText>
          </w:r>
          <w:r w:rsidR="00AD5552">
            <w:rPr>
              <w:rFonts w:ascii="Times New Roman" w:eastAsia="Times New Roman" w:hAnsi="Times New Roman" w:cs="Times New Roman"/>
              <w:color w:val="000000"/>
              <w:sz w:val="24"/>
              <w:szCs w:val="24"/>
              <w:lang w:eastAsia="en-GB"/>
            </w:rPr>
            <w:fldChar w:fldCharType="separate"/>
          </w:r>
          <w:r w:rsidR="00AD5552" w:rsidRPr="00AD5552">
            <w:rPr>
              <w:rFonts w:ascii="Times New Roman" w:eastAsia="Times New Roman" w:hAnsi="Times New Roman" w:cs="Times New Roman"/>
              <w:noProof/>
              <w:color w:val="000000"/>
              <w:sz w:val="24"/>
              <w:szCs w:val="24"/>
              <w:lang w:eastAsia="en-GB"/>
            </w:rPr>
            <w:t>(Borham Yoon, 2017)</w:t>
          </w:r>
          <w:r w:rsidR="00AD5552">
            <w:rPr>
              <w:rFonts w:ascii="Times New Roman" w:eastAsia="Times New Roman" w:hAnsi="Times New Roman" w:cs="Times New Roman"/>
              <w:color w:val="000000"/>
              <w:sz w:val="24"/>
              <w:szCs w:val="24"/>
              <w:lang w:eastAsia="en-GB"/>
            </w:rPr>
            <w:fldChar w:fldCharType="end"/>
          </w:r>
        </w:sdtContent>
      </w:sdt>
      <w:r w:rsidRPr="001875AB">
        <w:rPr>
          <w:rFonts w:ascii="Times New Roman" w:eastAsia="Times New Roman" w:hAnsi="Times New Roman" w:cs="Times New Roman"/>
          <w:color w:val="000000"/>
          <w:sz w:val="24"/>
          <w:szCs w:val="24"/>
          <w:lang w:eastAsia="en-GB"/>
        </w:rPr>
        <w:t xml:space="preserve">. These menus will be provided by having an experienced chef on board. The chef of Tousy Nittery has excelled in preparing quality and tasty foods in small and movable kitchens. As the driver behind Tousy Nittery food truck, I know most of the routes in Southern Indiana and the business locations that can generate high sales. </w:t>
      </w:r>
    </w:p>
    <w:p w14:paraId="44B5BB26" w14:textId="55A58B2F" w:rsidR="001875AB" w:rsidRP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Tousy Nittery has developed a strategy to reduce lead time while serving customers to less than seven minutes. As Tousy Nittery, we will be giving our patrons a chance to taste freshly cooked food. Since many people</w:t>
      </w:r>
      <w:r w:rsidR="00A629D7">
        <w:rPr>
          <w:rFonts w:ascii="Times New Roman" w:eastAsia="Times New Roman" w:hAnsi="Times New Roman" w:cs="Times New Roman"/>
          <w:color w:val="000000"/>
          <w:sz w:val="24"/>
          <w:szCs w:val="24"/>
          <w:lang w:eastAsia="en-GB"/>
        </w:rPr>
        <w:t xml:space="preserve"> can’t</w:t>
      </w:r>
      <w:r w:rsidRPr="001875AB">
        <w:rPr>
          <w:rFonts w:ascii="Times New Roman" w:eastAsia="Times New Roman" w:hAnsi="Times New Roman" w:cs="Times New Roman"/>
          <w:color w:val="000000"/>
          <w:sz w:val="24"/>
          <w:szCs w:val="24"/>
          <w:lang w:eastAsia="en-GB"/>
        </w:rPr>
        <w:t xml:space="preserve"> wait for many hours for food preparation, Tousy Nittery will be employing this strategy</w:t>
      </w:r>
      <w:r w:rsidR="00A629D7">
        <w:rPr>
          <w:rFonts w:ascii="Times New Roman" w:eastAsia="Times New Roman" w:hAnsi="Times New Roman" w:cs="Times New Roman"/>
          <w:color w:val="000000"/>
          <w:sz w:val="24"/>
          <w:szCs w:val="24"/>
          <w:lang w:eastAsia="en-GB"/>
        </w:rPr>
        <w:t xml:space="preserve"> to ensure customers are served efficiently and reliably. </w:t>
      </w:r>
    </w:p>
    <w:p w14:paraId="0AD9758D" w14:textId="77777777" w:rsidR="001875AB" w:rsidRPr="00ED4FE6" w:rsidRDefault="001875AB"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r w:rsidRPr="00ED4FE6">
        <w:rPr>
          <w:rFonts w:ascii="Times New Roman" w:eastAsia="Times New Roman" w:hAnsi="Times New Roman" w:cs="Times New Roman"/>
          <w:b/>
          <w:bCs/>
          <w:color w:val="000000"/>
          <w:sz w:val="24"/>
          <w:szCs w:val="24"/>
          <w:lang w:eastAsia="en-GB"/>
        </w:rPr>
        <w:t xml:space="preserve">Weaknesses anticipated in Tousy Nittery. </w:t>
      </w:r>
    </w:p>
    <w:p w14:paraId="537F6668" w14:textId="71995D03" w:rsidR="001875AB" w:rsidRP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 xml:space="preserve">Starting a food truck business is way cheaper than starting any hotel or restaurant. While this is true, it doesn't mean that starting a food truck is a penniless effort. One has to have enough capital to buy the food truck </w:t>
      </w:r>
      <w:sdt>
        <w:sdtPr>
          <w:rPr>
            <w:rFonts w:ascii="Times New Roman" w:eastAsia="Times New Roman" w:hAnsi="Times New Roman" w:cs="Times New Roman"/>
            <w:color w:val="000000"/>
            <w:sz w:val="24"/>
            <w:szCs w:val="24"/>
            <w:lang w:eastAsia="en-GB"/>
          </w:rPr>
          <w:id w:val="1275130110"/>
          <w:citation/>
        </w:sdtPr>
        <w:sdtEndPr/>
        <w:sdtContent>
          <w:r w:rsidR="00ED4FE6">
            <w:rPr>
              <w:rFonts w:ascii="Times New Roman" w:eastAsia="Times New Roman" w:hAnsi="Times New Roman" w:cs="Times New Roman"/>
              <w:color w:val="000000"/>
              <w:sz w:val="24"/>
              <w:szCs w:val="24"/>
              <w:lang w:eastAsia="en-GB"/>
            </w:rPr>
            <w:fldChar w:fldCharType="begin"/>
          </w:r>
          <w:r w:rsidR="00ED4FE6">
            <w:rPr>
              <w:rFonts w:ascii="Times New Roman" w:eastAsia="Times New Roman" w:hAnsi="Times New Roman" w:cs="Times New Roman"/>
              <w:color w:val="000000"/>
              <w:sz w:val="24"/>
              <w:szCs w:val="24"/>
              <w:lang w:eastAsia="en-GB"/>
            </w:rPr>
            <w:instrText xml:space="preserve"> CITATION Arm11 \l 2057 </w:instrText>
          </w:r>
          <w:r w:rsidR="00ED4FE6">
            <w:rPr>
              <w:rFonts w:ascii="Times New Roman" w:eastAsia="Times New Roman" w:hAnsi="Times New Roman" w:cs="Times New Roman"/>
              <w:color w:val="000000"/>
              <w:sz w:val="24"/>
              <w:szCs w:val="24"/>
              <w:lang w:eastAsia="en-GB"/>
            </w:rPr>
            <w:fldChar w:fldCharType="separate"/>
          </w:r>
          <w:r w:rsidR="00ED4FE6" w:rsidRPr="00ED4FE6">
            <w:rPr>
              <w:rFonts w:ascii="Times New Roman" w:eastAsia="Times New Roman" w:hAnsi="Times New Roman" w:cs="Times New Roman"/>
              <w:noProof/>
              <w:color w:val="000000"/>
              <w:sz w:val="24"/>
              <w:szCs w:val="24"/>
              <w:lang w:eastAsia="en-GB"/>
            </w:rPr>
            <w:t>(Caldwell, 2011)</w:t>
          </w:r>
          <w:r w:rsidR="00ED4FE6">
            <w:rPr>
              <w:rFonts w:ascii="Times New Roman" w:eastAsia="Times New Roman" w:hAnsi="Times New Roman" w:cs="Times New Roman"/>
              <w:color w:val="000000"/>
              <w:sz w:val="24"/>
              <w:szCs w:val="24"/>
              <w:lang w:eastAsia="en-GB"/>
            </w:rPr>
            <w:fldChar w:fldCharType="end"/>
          </w:r>
        </w:sdtContent>
      </w:sdt>
      <w:r w:rsidRPr="001875AB">
        <w:rPr>
          <w:rFonts w:ascii="Times New Roman" w:eastAsia="Times New Roman" w:hAnsi="Times New Roman" w:cs="Times New Roman"/>
          <w:color w:val="000000"/>
          <w:sz w:val="24"/>
          <w:szCs w:val="24"/>
          <w:lang w:eastAsia="en-GB"/>
        </w:rPr>
        <w:t>. One also has to have enough money to settle the legal fees to fulfil required permit requirements.</w:t>
      </w:r>
    </w:p>
    <w:p w14:paraId="598888DC" w14:textId="64A0B59C" w:rsidR="001875AB" w:rsidRP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 xml:space="preserve">Tousy Nittery will require </w:t>
      </w:r>
      <w:r w:rsidR="00ED4FE6">
        <w:rPr>
          <w:rFonts w:ascii="Times New Roman" w:eastAsia="Times New Roman" w:hAnsi="Times New Roman" w:cs="Times New Roman"/>
          <w:color w:val="000000"/>
          <w:sz w:val="24"/>
          <w:szCs w:val="24"/>
          <w:lang w:eastAsia="en-GB"/>
        </w:rPr>
        <w:t>information</w:t>
      </w:r>
      <w:r w:rsidRPr="001875AB">
        <w:rPr>
          <w:rFonts w:ascii="Times New Roman" w:eastAsia="Times New Roman" w:hAnsi="Times New Roman" w:cs="Times New Roman"/>
          <w:color w:val="000000"/>
          <w:sz w:val="24"/>
          <w:szCs w:val="24"/>
          <w:lang w:eastAsia="en-GB"/>
        </w:rPr>
        <w:t xml:space="preserve"> on cooking styles, strategy for moving food trucks, market analysis, the course used to reach different places, and time. This information will have to be got by remaining dynamic on the lookout </w:t>
      </w:r>
      <w:sdt>
        <w:sdtPr>
          <w:rPr>
            <w:rFonts w:ascii="Times New Roman" w:eastAsia="Times New Roman" w:hAnsi="Times New Roman" w:cs="Times New Roman"/>
            <w:color w:val="000000"/>
            <w:sz w:val="24"/>
            <w:szCs w:val="24"/>
            <w:lang w:eastAsia="en-GB"/>
          </w:rPr>
          <w:id w:val="-2077420821"/>
          <w:citation/>
        </w:sdtPr>
        <w:sdtEndPr/>
        <w:sdtContent>
          <w:r w:rsidR="0038618F">
            <w:rPr>
              <w:rFonts w:ascii="Times New Roman" w:eastAsia="Times New Roman" w:hAnsi="Times New Roman" w:cs="Times New Roman"/>
              <w:color w:val="000000"/>
              <w:sz w:val="24"/>
              <w:szCs w:val="24"/>
              <w:lang w:eastAsia="en-GB"/>
            </w:rPr>
            <w:fldChar w:fldCharType="begin"/>
          </w:r>
          <w:r w:rsidR="0038618F">
            <w:rPr>
              <w:rFonts w:ascii="Times New Roman" w:eastAsia="Times New Roman" w:hAnsi="Times New Roman" w:cs="Times New Roman"/>
              <w:color w:val="000000"/>
              <w:sz w:val="24"/>
              <w:szCs w:val="24"/>
              <w:lang w:eastAsia="en-GB"/>
            </w:rPr>
            <w:instrText xml:space="preserve"> CITATION How16 \l 2057 </w:instrText>
          </w:r>
          <w:r w:rsidR="0038618F">
            <w:rPr>
              <w:rFonts w:ascii="Times New Roman" w:eastAsia="Times New Roman" w:hAnsi="Times New Roman" w:cs="Times New Roman"/>
              <w:color w:val="000000"/>
              <w:sz w:val="24"/>
              <w:szCs w:val="24"/>
              <w:lang w:eastAsia="en-GB"/>
            </w:rPr>
            <w:fldChar w:fldCharType="separate"/>
          </w:r>
          <w:r w:rsidR="0038618F" w:rsidRPr="0038618F">
            <w:rPr>
              <w:rFonts w:ascii="Times New Roman" w:eastAsia="Times New Roman" w:hAnsi="Times New Roman" w:cs="Times New Roman"/>
              <w:noProof/>
              <w:color w:val="000000"/>
              <w:sz w:val="24"/>
              <w:szCs w:val="24"/>
              <w:lang w:eastAsia="en-GB"/>
            </w:rPr>
            <w:t>(Kate., 2016)</w:t>
          </w:r>
          <w:r w:rsidR="0038618F">
            <w:rPr>
              <w:rFonts w:ascii="Times New Roman" w:eastAsia="Times New Roman" w:hAnsi="Times New Roman" w:cs="Times New Roman"/>
              <w:color w:val="000000"/>
              <w:sz w:val="24"/>
              <w:szCs w:val="24"/>
              <w:lang w:eastAsia="en-GB"/>
            </w:rPr>
            <w:fldChar w:fldCharType="end"/>
          </w:r>
        </w:sdtContent>
      </w:sdt>
      <w:r w:rsidRPr="001875AB">
        <w:rPr>
          <w:rFonts w:ascii="Times New Roman" w:eastAsia="Times New Roman" w:hAnsi="Times New Roman" w:cs="Times New Roman"/>
          <w:color w:val="000000"/>
          <w:sz w:val="24"/>
          <w:szCs w:val="24"/>
          <w:lang w:eastAsia="en-GB"/>
        </w:rPr>
        <w:t xml:space="preserve">. Our competitors like Soul Sista and Big Jerry Andy have this information courtesy of their experience in the market. They will continue to utilize it against Tousy Nittery as long as we don't know it. </w:t>
      </w:r>
    </w:p>
    <w:p w14:paraId="65F73B08" w14:textId="77777777" w:rsidR="001875AB" w:rsidRPr="0038618F" w:rsidRDefault="001875AB"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r w:rsidRPr="0038618F">
        <w:rPr>
          <w:rFonts w:ascii="Times New Roman" w:eastAsia="Times New Roman" w:hAnsi="Times New Roman" w:cs="Times New Roman"/>
          <w:b/>
          <w:bCs/>
          <w:color w:val="000000"/>
          <w:sz w:val="24"/>
          <w:szCs w:val="24"/>
          <w:lang w:eastAsia="en-GB"/>
        </w:rPr>
        <w:t>Opportunities to be exploited by Tousy Nittery</w:t>
      </w:r>
    </w:p>
    <w:p w14:paraId="58A09D50" w14:textId="626CE4A9" w:rsidR="001875AB" w:rsidRP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 xml:space="preserve">The food market is quite big as people need to eat to live. Currently, people are occupied in their lives tackling their responsibilities such that they don't have time to visit extravagant eateries, except for affluent people </w:t>
      </w:r>
      <w:sdt>
        <w:sdtPr>
          <w:rPr>
            <w:rFonts w:ascii="Times New Roman" w:eastAsia="Times New Roman" w:hAnsi="Times New Roman" w:cs="Times New Roman"/>
            <w:color w:val="000000"/>
            <w:sz w:val="24"/>
            <w:szCs w:val="24"/>
            <w:lang w:eastAsia="en-GB"/>
          </w:rPr>
          <w:id w:val="526914559"/>
          <w:citation/>
        </w:sdtPr>
        <w:sdtEndPr/>
        <w:sdtContent>
          <w:r w:rsidR="00E12A31">
            <w:rPr>
              <w:rFonts w:ascii="Times New Roman" w:eastAsia="Times New Roman" w:hAnsi="Times New Roman" w:cs="Times New Roman"/>
              <w:color w:val="000000"/>
              <w:sz w:val="24"/>
              <w:szCs w:val="24"/>
              <w:lang w:eastAsia="en-GB"/>
            </w:rPr>
            <w:fldChar w:fldCharType="begin"/>
          </w:r>
          <w:r w:rsidR="00E12A31">
            <w:rPr>
              <w:rFonts w:ascii="Times New Roman" w:eastAsia="Times New Roman" w:hAnsi="Times New Roman" w:cs="Times New Roman"/>
              <w:color w:val="000000"/>
              <w:sz w:val="24"/>
              <w:szCs w:val="24"/>
              <w:lang w:eastAsia="en-GB"/>
            </w:rPr>
            <w:instrText xml:space="preserve"> CITATION How16 \l 2057 </w:instrText>
          </w:r>
          <w:r w:rsidR="00E12A31">
            <w:rPr>
              <w:rFonts w:ascii="Times New Roman" w:eastAsia="Times New Roman" w:hAnsi="Times New Roman" w:cs="Times New Roman"/>
              <w:color w:val="000000"/>
              <w:sz w:val="24"/>
              <w:szCs w:val="24"/>
              <w:lang w:eastAsia="en-GB"/>
            </w:rPr>
            <w:fldChar w:fldCharType="separate"/>
          </w:r>
          <w:r w:rsidR="00E12A31" w:rsidRPr="00E12A31">
            <w:rPr>
              <w:rFonts w:ascii="Times New Roman" w:eastAsia="Times New Roman" w:hAnsi="Times New Roman" w:cs="Times New Roman"/>
              <w:noProof/>
              <w:color w:val="000000"/>
              <w:sz w:val="24"/>
              <w:szCs w:val="24"/>
              <w:lang w:eastAsia="en-GB"/>
            </w:rPr>
            <w:t>(Kate., 2016)</w:t>
          </w:r>
          <w:r w:rsidR="00E12A31">
            <w:rPr>
              <w:rFonts w:ascii="Times New Roman" w:eastAsia="Times New Roman" w:hAnsi="Times New Roman" w:cs="Times New Roman"/>
              <w:color w:val="000000"/>
              <w:sz w:val="24"/>
              <w:szCs w:val="24"/>
              <w:lang w:eastAsia="en-GB"/>
            </w:rPr>
            <w:fldChar w:fldCharType="end"/>
          </w:r>
        </w:sdtContent>
      </w:sdt>
      <w:r w:rsidRPr="001875AB">
        <w:rPr>
          <w:rFonts w:ascii="Times New Roman" w:eastAsia="Times New Roman" w:hAnsi="Times New Roman" w:cs="Times New Roman"/>
          <w:color w:val="000000"/>
          <w:sz w:val="24"/>
          <w:szCs w:val="24"/>
          <w:lang w:eastAsia="en-GB"/>
        </w:rPr>
        <w:t>. The target market for Tousy Nittery is ordinary workers. To have returning clients, we aim to offer them a quality dining experience at a lower price.</w:t>
      </w:r>
    </w:p>
    <w:p w14:paraId="24BFE61F" w14:textId="0F80195A" w:rsidR="001875AB" w:rsidRP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 xml:space="preserve">Tousy Nittery seeks to partner with the </w:t>
      </w:r>
      <w:r w:rsidR="00E12A31" w:rsidRPr="001875AB">
        <w:rPr>
          <w:rFonts w:ascii="Times New Roman" w:eastAsia="Times New Roman" w:hAnsi="Times New Roman" w:cs="Times New Roman"/>
          <w:color w:val="000000"/>
          <w:sz w:val="24"/>
          <w:szCs w:val="24"/>
          <w:lang w:eastAsia="en-GB"/>
        </w:rPr>
        <w:t>neighbourhood</w:t>
      </w:r>
      <w:r w:rsidRPr="001875AB">
        <w:rPr>
          <w:rFonts w:ascii="Times New Roman" w:eastAsia="Times New Roman" w:hAnsi="Times New Roman" w:cs="Times New Roman"/>
          <w:color w:val="000000"/>
          <w:sz w:val="24"/>
          <w:szCs w:val="24"/>
          <w:lang w:eastAsia="en-GB"/>
        </w:rPr>
        <w:t xml:space="preserve"> bars and clubs. Most bars and clubs in Southern Indiana offer just beverages </w:t>
      </w:r>
      <w:sdt>
        <w:sdtPr>
          <w:rPr>
            <w:rFonts w:ascii="Times New Roman" w:eastAsia="Times New Roman" w:hAnsi="Times New Roman" w:cs="Times New Roman"/>
            <w:color w:val="000000"/>
            <w:sz w:val="24"/>
            <w:szCs w:val="24"/>
            <w:lang w:eastAsia="en-GB"/>
          </w:rPr>
          <w:id w:val="-734166928"/>
          <w:citation/>
        </w:sdtPr>
        <w:sdtEndPr/>
        <w:sdtContent>
          <w:r w:rsidR="00E12A31">
            <w:rPr>
              <w:rFonts w:ascii="Times New Roman" w:eastAsia="Times New Roman" w:hAnsi="Times New Roman" w:cs="Times New Roman"/>
              <w:color w:val="000000"/>
              <w:sz w:val="24"/>
              <w:szCs w:val="24"/>
              <w:lang w:eastAsia="en-GB"/>
            </w:rPr>
            <w:fldChar w:fldCharType="begin"/>
          </w:r>
          <w:r w:rsidR="00E12A31">
            <w:rPr>
              <w:rFonts w:ascii="Times New Roman" w:eastAsia="Times New Roman" w:hAnsi="Times New Roman" w:cs="Times New Roman"/>
              <w:color w:val="000000"/>
              <w:sz w:val="24"/>
              <w:szCs w:val="24"/>
              <w:lang w:eastAsia="en-GB"/>
            </w:rPr>
            <w:instrText xml:space="preserve"> CITATION How16 \l 2057 </w:instrText>
          </w:r>
          <w:r w:rsidR="00E12A31">
            <w:rPr>
              <w:rFonts w:ascii="Times New Roman" w:eastAsia="Times New Roman" w:hAnsi="Times New Roman" w:cs="Times New Roman"/>
              <w:color w:val="000000"/>
              <w:sz w:val="24"/>
              <w:szCs w:val="24"/>
              <w:lang w:eastAsia="en-GB"/>
            </w:rPr>
            <w:fldChar w:fldCharType="separate"/>
          </w:r>
          <w:r w:rsidR="00E12A31" w:rsidRPr="00E12A31">
            <w:rPr>
              <w:rFonts w:ascii="Times New Roman" w:eastAsia="Times New Roman" w:hAnsi="Times New Roman" w:cs="Times New Roman"/>
              <w:noProof/>
              <w:color w:val="000000"/>
              <w:sz w:val="24"/>
              <w:szCs w:val="24"/>
              <w:lang w:eastAsia="en-GB"/>
            </w:rPr>
            <w:t>(Kate., 2016)</w:t>
          </w:r>
          <w:r w:rsidR="00E12A31">
            <w:rPr>
              <w:rFonts w:ascii="Times New Roman" w:eastAsia="Times New Roman" w:hAnsi="Times New Roman" w:cs="Times New Roman"/>
              <w:color w:val="000000"/>
              <w:sz w:val="24"/>
              <w:szCs w:val="24"/>
              <w:lang w:eastAsia="en-GB"/>
            </w:rPr>
            <w:fldChar w:fldCharType="end"/>
          </w:r>
        </w:sdtContent>
      </w:sdt>
      <w:r w:rsidRPr="001875AB">
        <w:rPr>
          <w:rFonts w:ascii="Times New Roman" w:eastAsia="Times New Roman" w:hAnsi="Times New Roman" w:cs="Times New Roman"/>
          <w:color w:val="000000"/>
          <w:sz w:val="24"/>
          <w:szCs w:val="24"/>
          <w:lang w:eastAsia="en-GB"/>
        </w:rPr>
        <w:t xml:space="preserve">. Tousy Nittery looks to deal with the bars and clubs by providing meals at night behind these bars to extend their menus to draw new </w:t>
      </w:r>
      <w:r w:rsidR="00B50876">
        <w:rPr>
          <w:rFonts w:ascii="Times New Roman" w:eastAsia="Times New Roman" w:hAnsi="Times New Roman" w:cs="Times New Roman"/>
          <w:color w:val="000000"/>
          <w:sz w:val="24"/>
          <w:szCs w:val="24"/>
          <w:lang w:eastAsia="en-GB"/>
        </w:rPr>
        <w:t>customers for the bars</w:t>
      </w:r>
      <w:r w:rsidRPr="001875AB">
        <w:rPr>
          <w:rFonts w:ascii="Times New Roman" w:eastAsia="Times New Roman" w:hAnsi="Times New Roman" w:cs="Times New Roman"/>
          <w:color w:val="000000"/>
          <w:sz w:val="24"/>
          <w:szCs w:val="24"/>
          <w:lang w:eastAsia="en-GB"/>
        </w:rPr>
        <w:t>. Most bars in Corydon and Jeffersonville have agreed to this plan, and we hope to partner with the bars.</w:t>
      </w:r>
    </w:p>
    <w:p w14:paraId="70EC07DA" w14:textId="77777777" w:rsidR="001875AB" w:rsidRPr="00B50876" w:rsidRDefault="001875AB"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r w:rsidRPr="00B50876">
        <w:rPr>
          <w:rFonts w:ascii="Times New Roman" w:eastAsia="Times New Roman" w:hAnsi="Times New Roman" w:cs="Times New Roman"/>
          <w:b/>
          <w:bCs/>
          <w:color w:val="000000"/>
          <w:sz w:val="24"/>
          <w:szCs w:val="24"/>
          <w:lang w:eastAsia="en-GB"/>
        </w:rPr>
        <w:t>The threat facing Tousy Nittery</w:t>
      </w:r>
    </w:p>
    <w:p w14:paraId="29F6392C" w14:textId="7F99EAF1" w:rsid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 xml:space="preserve">One of the major drawbacks to having a food truck is complying with the many government regulations </w:t>
      </w:r>
      <w:sdt>
        <w:sdtPr>
          <w:rPr>
            <w:rFonts w:ascii="Times New Roman" w:eastAsia="Times New Roman" w:hAnsi="Times New Roman" w:cs="Times New Roman"/>
            <w:color w:val="000000"/>
            <w:sz w:val="24"/>
            <w:szCs w:val="24"/>
            <w:lang w:eastAsia="en-GB"/>
          </w:rPr>
          <w:id w:val="437877148"/>
          <w:citation/>
        </w:sdtPr>
        <w:sdtEndPr/>
        <w:sdtContent>
          <w:r w:rsidR="00B50876">
            <w:rPr>
              <w:rFonts w:ascii="Times New Roman" w:eastAsia="Times New Roman" w:hAnsi="Times New Roman" w:cs="Times New Roman"/>
              <w:color w:val="000000"/>
              <w:sz w:val="24"/>
              <w:szCs w:val="24"/>
              <w:lang w:eastAsia="en-GB"/>
            </w:rPr>
            <w:fldChar w:fldCharType="begin"/>
          </w:r>
          <w:r w:rsidR="00B50876">
            <w:rPr>
              <w:rFonts w:ascii="Times New Roman" w:eastAsia="Times New Roman" w:hAnsi="Times New Roman" w:cs="Times New Roman"/>
              <w:color w:val="000000"/>
              <w:sz w:val="24"/>
              <w:szCs w:val="24"/>
              <w:lang w:eastAsia="en-GB"/>
            </w:rPr>
            <w:instrText xml:space="preserve"> CITATION Arm11 \l 2057 </w:instrText>
          </w:r>
          <w:r w:rsidR="00B50876">
            <w:rPr>
              <w:rFonts w:ascii="Times New Roman" w:eastAsia="Times New Roman" w:hAnsi="Times New Roman" w:cs="Times New Roman"/>
              <w:color w:val="000000"/>
              <w:sz w:val="24"/>
              <w:szCs w:val="24"/>
              <w:lang w:eastAsia="en-GB"/>
            </w:rPr>
            <w:fldChar w:fldCharType="separate"/>
          </w:r>
          <w:r w:rsidR="00B50876" w:rsidRPr="00B50876">
            <w:rPr>
              <w:rFonts w:ascii="Times New Roman" w:eastAsia="Times New Roman" w:hAnsi="Times New Roman" w:cs="Times New Roman"/>
              <w:noProof/>
              <w:color w:val="000000"/>
              <w:sz w:val="24"/>
              <w:szCs w:val="24"/>
              <w:lang w:eastAsia="en-GB"/>
            </w:rPr>
            <w:t>(Caldwell, 2011)</w:t>
          </w:r>
          <w:r w:rsidR="00B50876">
            <w:rPr>
              <w:rFonts w:ascii="Times New Roman" w:eastAsia="Times New Roman" w:hAnsi="Times New Roman" w:cs="Times New Roman"/>
              <w:color w:val="000000"/>
              <w:sz w:val="24"/>
              <w:szCs w:val="24"/>
              <w:lang w:eastAsia="en-GB"/>
            </w:rPr>
            <w:fldChar w:fldCharType="end"/>
          </w:r>
        </w:sdtContent>
      </w:sdt>
      <w:r w:rsidRPr="001875AB">
        <w:rPr>
          <w:rFonts w:ascii="Times New Roman" w:eastAsia="Times New Roman" w:hAnsi="Times New Roman" w:cs="Times New Roman"/>
          <w:color w:val="000000"/>
          <w:sz w:val="24"/>
          <w:szCs w:val="24"/>
          <w:lang w:eastAsia="en-GB"/>
        </w:rPr>
        <w:t>. Failure to have proper certification leads to business fines, and the business will be out of commission. In southern Indiana, one needs to have several permits and certifications, like the health department's certificate and food safety training.</w:t>
      </w:r>
    </w:p>
    <w:p w14:paraId="5889BD63" w14:textId="77777777" w:rsidR="00BA31BD" w:rsidRDefault="00BA31BD"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p>
    <w:p w14:paraId="4852C377" w14:textId="77777777" w:rsidR="00BA31BD" w:rsidRDefault="00BA31BD"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p>
    <w:p w14:paraId="65FC13F1" w14:textId="37335BBA" w:rsidR="001875AB" w:rsidRPr="00B50876" w:rsidRDefault="00BA31BD"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R</w:t>
      </w:r>
      <w:r w:rsidR="001875AB" w:rsidRPr="00B50876">
        <w:rPr>
          <w:rFonts w:ascii="Times New Roman" w:eastAsia="Times New Roman" w:hAnsi="Times New Roman" w:cs="Times New Roman"/>
          <w:b/>
          <w:bCs/>
          <w:color w:val="000000"/>
          <w:sz w:val="24"/>
          <w:szCs w:val="24"/>
          <w:lang w:eastAsia="en-GB"/>
        </w:rPr>
        <w:t>ole</w:t>
      </w:r>
      <w:r>
        <w:rPr>
          <w:rFonts w:ascii="Times New Roman" w:eastAsia="Times New Roman" w:hAnsi="Times New Roman" w:cs="Times New Roman"/>
          <w:b/>
          <w:bCs/>
          <w:color w:val="000000"/>
          <w:sz w:val="24"/>
          <w:szCs w:val="24"/>
          <w:lang w:eastAsia="en-GB"/>
        </w:rPr>
        <w:t>s of c</w:t>
      </w:r>
      <w:r w:rsidR="001875AB" w:rsidRPr="00B50876">
        <w:rPr>
          <w:rFonts w:ascii="Times New Roman" w:eastAsia="Times New Roman" w:hAnsi="Times New Roman" w:cs="Times New Roman"/>
          <w:b/>
          <w:bCs/>
          <w:color w:val="000000"/>
          <w:sz w:val="24"/>
          <w:szCs w:val="24"/>
          <w:lang w:eastAsia="en-GB"/>
        </w:rPr>
        <w:t xml:space="preserve">ompetitors </w:t>
      </w:r>
      <w:r>
        <w:rPr>
          <w:rFonts w:ascii="Times New Roman" w:eastAsia="Times New Roman" w:hAnsi="Times New Roman" w:cs="Times New Roman"/>
          <w:b/>
          <w:bCs/>
          <w:color w:val="000000"/>
          <w:sz w:val="24"/>
          <w:szCs w:val="24"/>
          <w:lang w:eastAsia="en-GB"/>
        </w:rPr>
        <w:t>in the SWOT s</w:t>
      </w:r>
      <w:r w:rsidR="001875AB" w:rsidRPr="00B50876">
        <w:rPr>
          <w:rFonts w:ascii="Times New Roman" w:eastAsia="Times New Roman" w:hAnsi="Times New Roman" w:cs="Times New Roman"/>
          <w:b/>
          <w:bCs/>
          <w:color w:val="000000"/>
          <w:sz w:val="24"/>
          <w:szCs w:val="24"/>
          <w:lang w:eastAsia="en-GB"/>
        </w:rPr>
        <w:t>trategy?</w:t>
      </w:r>
    </w:p>
    <w:p w14:paraId="1295DEEB" w14:textId="247146BD" w:rsidR="001875AB" w:rsidRPr="001875AB" w:rsidRDefault="001875AB" w:rsidP="001875AB">
      <w:pPr>
        <w:shd w:val="clear" w:color="auto" w:fill="FFFFFF"/>
        <w:spacing w:after="0" w:line="480" w:lineRule="auto"/>
        <w:rPr>
          <w:rFonts w:ascii="Times New Roman" w:eastAsia="Times New Roman" w:hAnsi="Times New Roman" w:cs="Times New Roman"/>
          <w:color w:val="000000"/>
          <w:sz w:val="24"/>
          <w:szCs w:val="24"/>
          <w:lang w:eastAsia="en-GB"/>
        </w:rPr>
      </w:pPr>
      <w:r w:rsidRPr="001875AB">
        <w:rPr>
          <w:rFonts w:ascii="Times New Roman" w:eastAsia="Times New Roman" w:hAnsi="Times New Roman" w:cs="Times New Roman"/>
          <w:color w:val="000000"/>
          <w:sz w:val="24"/>
          <w:szCs w:val="24"/>
          <w:lang w:eastAsia="en-GB"/>
        </w:rPr>
        <w:tab/>
        <w:t xml:space="preserve">Tousy Nittery hopes to gain from our competitors to improve our dining experience. The biggest competitors of Tousy Nittery are Soul Sista, Chef Dan's Southern Comfort, and Big Jerry Andy. How Soul Sista prices her food will directly determine how Tousy Nittery will price its food </w:t>
      </w:r>
      <w:sdt>
        <w:sdtPr>
          <w:rPr>
            <w:rFonts w:ascii="Times New Roman" w:eastAsia="Times New Roman" w:hAnsi="Times New Roman" w:cs="Times New Roman"/>
            <w:color w:val="000000"/>
            <w:sz w:val="24"/>
            <w:szCs w:val="24"/>
            <w:lang w:eastAsia="en-GB"/>
          </w:rPr>
          <w:id w:val="1044950218"/>
          <w:citation/>
        </w:sdtPr>
        <w:sdtEndPr/>
        <w:sdtContent>
          <w:r w:rsidR="008D0A4E">
            <w:rPr>
              <w:rFonts w:ascii="Times New Roman" w:eastAsia="Times New Roman" w:hAnsi="Times New Roman" w:cs="Times New Roman"/>
              <w:color w:val="000000"/>
              <w:sz w:val="24"/>
              <w:szCs w:val="24"/>
              <w:lang w:eastAsia="en-GB"/>
            </w:rPr>
            <w:fldChar w:fldCharType="begin"/>
          </w:r>
          <w:r w:rsidR="008D0A4E">
            <w:rPr>
              <w:rFonts w:ascii="Times New Roman" w:eastAsia="Times New Roman" w:hAnsi="Times New Roman" w:cs="Times New Roman"/>
              <w:color w:val="000000"/>
              <w:sz w:val="24"/>
              <w:szCs w:val="24"/>
              <w:lang w:eastAsia="en-GB"/>
            </w:rPr>
            <w:instrText xml:space="preserve"> CITATION How16 \l 2057 </w:instrText>
          </w:r>
          <w:r w:rsidR="008D0A4E">
            <w:rPr>
              <w:rFonts w:ascii="Times New Roman" w:eastAsia="Times New Roman" w:hAnsi="Times New Roman" w:cs="Times New Roman"/>
              <w:color w:val="000000"/>
              <w:sz w:val="24"/>
              <w:szCs w:val="24"/>
              <w:lang w:eastAsia="en-GB"/>
            </w:rPr>
            <w:fldChar w:fldCharType="separate"/>
          </w:r>
          <w:r w:rsidR="008D0A4E" w:rsidRPr="008D0A4E">
            <w:rPr>
              <w:rFonts w:ascii="Times New Roman" w:eastAsia="Times New Roman" w:hAnsi="Times New Roman" w:cs="Times New Roman"/>
              <w:noProof/>
              <w:color w:val="000000"/>
              <w:sz w:val="24"/>
              <w:szCs w:val="24"/>
              <w:lang w:eastAsia="en-GB"/>
            </w:rPr>
            <w:t>(Kate., 2016)</w:t>
          </w:r>
          <w:r w:rsidR="008D0A4E">
            <w:rPr>
              <w:rFonts w:ascii="Times New Roman" w:eastAsia="Times New Roman" w:hAnsi="Times New Roman" w:cs="Times New Roman"/>
              <w:color w:val="000000"/>
              <w:sz w:val="24"/>
              <w:szCs w:val="24"/>
              <w:lang w:eastAsia="en-GB"/>
            </w:rPr>
            <w:fldChar w:fldCharType="end"/>
          </w:r>
        </w:sdtContent>
      </w:sdt>
      <w:r w:rsidRPr="001875AB">
        <w:rPr>
          <w:rFonts w:ascii="Times New Roman" w:eastAsia="Times New Roman" w:hAnsi="Times New Roman" w:cs="Times New Roman"/>
          <w:color w:val="000000"/>
          <w:sz w:val="24"/>
          <w:szCs w:val="24"/>
          <w:lang w:eastAsia="en-GB"/>
        </w:rPr>
        <w:t xml:space="preserve">. In addition, for Tousy Nittery to have an upper advantage over them, we shall try to innovate new menus rather than copying their menus. </w:t>
      </w:r>
    </w:p>
    <w:p w14:paraId="1A959319" w14:textId="0C3FD1D7" w:rsidR="001875AB" w:rsidRPr="00EB7187" w:rsidRDefault="001466EE" w:rsidP="001875AB">
      <w:pPr>
        <w:shd w:val="clear" w:color="auto" w:fill="FFFFFF"/>
        <w:spacing w:after="0" w:line="480" w:lineRule="auto"/>
        <w:rPr>
          <w:rFonts w:ascii="Times New Roman" w:eastAsia="Times New Roman" w:hAnsi="Times New Roman" w:cs="Times New Roman"/>
          <w:b/>
          <w:bCs/>
          <w:color w:val="000000"/>
          <w:sz w:val="24"/>
          <w:szCs w:val="24"/>
          <w:lang w:eastAsia="en-GB"/>
        </w:rPr>
      </w:pPr>
      <w:r w:rsidRPr="00EB7187">
        <w:rPr>
          <w:rFonts w:ascii="Times New Roman" w:eastAsia="Times New Roman" w:hAnsi="Times New Roman" w:cs="Times New Roman"/>
          <w:b/>
          <w:bCs/>
          <w:color w:val="000000"/>
          <w:sz w:val="24"/>
          <w:szCs w:val="24"/>
          <w:lang w:eastAsia="en-GB"/>
        </w:rPr>
        <w:t>Conclusion</w:t>
      </w:r>
    </w:p>
    <w:p w14:paraId="0761E938" w14:textId="2119C880" w:rsidR="001466EE" w:rsidRPr="001875AB" w:rsidRDefault="001466EE" w:rsidP="001875AB">
      <w:pPr>
        <w:shd w:val="clear" w:color="auto" w:fill="FFFFFF"/>
        <w:spacing w:after="0" w:line="48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b/>
      </w:r>
      <w:r w:rsidR="00EB7187" w:rsidRPr="00EB7187">
        <w:rPr>
          <w:rFonts w:ascii="Times New Roman" w:eastAsia="Times New Roman" w:hAnsi="Times New Roman" w:cs="Times New Roman"/>
          <w:color w:val="000000"/>
          <w:sz w:val="24"/>
          <w:szCs w:val="24"/>
          <w:lang w:eastAsia="en-GB"/>
        </w:rPr>
        <w:t>The SWOT analysis employed by Tousy Nittery has identified the critical areas that, as a food truck, we need to focus on so that we can have great sales. To ensure all the areas are addressed, we shall come up with policies from the threats and the strength to ensure we address them promptly. Our competitors shall give us information concerning prevailing market conditions, and we shall learn from them how to improve our customer service</w:t>
      </w:r>
      <w:r w:rsidR="00F80C75">
        <w:rPr>
          <w:rFonts w:ascii="Times New Roman" w:eastAsia="Times New Roman" w:hAnsi="Times New Roman" w:cs="Times New Roman"/>
          <w:color w:val="000000"/>
          <w:sz w:val="24"/>
          <w:szCs w:val="24"/>
          <w:lang w:eastAsia="en-GB"/>
        </w:rPr>
        <w:t xml:space="preserve">. </w:t>
      </w:r>
    </w:p>
    <w:p w14:paraId="6FC90C15" w14:textId="0EE185A8"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7CD1339A" w14:textId="00B59648"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5152FB08" w14:textId="7775488E"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696D7568" w14:textId="273E0082"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10A63A05" w14:textId="540C8D89"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009E91B2" w14:textId="5E4813BB"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0E29E460" w14:textId="782AE3FB"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2078FB5D" w14:textId="5C4FD6E8"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7DF45DFD" w14:textId="22C6BFB4"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3DB51B8E" w14:textId="67EEF525"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553F6F1F" w14:textId="7D96DA90"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1F4BD281" w14:textId="3AD77302"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7663ECE3" w14:textId="7283C682"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1B227197" w14:textId="136C6F45"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sdt>
      <w:sdtPr>
        <w:rPr>
          <w:rFonts w:asciiTheme="minorHAnsi" w:eastAsiaTheme="minorHAnsi" w:hAnsiTheme="minorHAnsi" w:cstheme="minorBidi"/>
          <w:color w:val="auto"/>
          <w:sz w:val="22"/>
          <w:szCs w:val="22"/>
          <w:lang w:val="en-GB"/>
        </w:rPr>
        <w:id w:val="678628520"/>
        <w:docPartObj>
          <w:docPartGallery w:val="Bibliographies"/>
          <w:docPartUnique/>
        </w:docPartObj>
      </w:sdtPr>
      <w:sdtEndPr>
        <w:rPr>
          <w:rFonts w:ascii="Times New Roman" w:hAnsi="Times New Roman" w:cs="Times New Roman"/>
          <w:sz w:val="24"/>
          <w:szCs w:val="24"/>
        </w:rPr>
      </w:sdtEndPr>
      <w:sdtContent>
        <w:p w14:paraId="0A084A86" w14:textId="31146B11" w:rsidR="004B51A3" w:rsidRPr="004B51A3" w:rsidRDefault="004B51A3" w:rsidP="004B51A3">
          <w:pPr>
            <w:pStyle w:val="Heading1"/>
            <w:jc w:val="center"/>
            <w:rPr>
              <w:rFonts w:ascii="Times New Roman" w:hAnsi="Times New Roman" w:cs="Times New Roman"/>
              <w:b/>
              <w:bCs/>
              <w:color w:val="0D0D0D" w:themeColor="text1" w:themeTint="F2"/>
              <w:sz w:val="28"/>
              <w:szCs w:val="28"/>
            </w:rPr>
          </w:pPr>
          <w:r w:rsidRPr="004B51A3">
            <w:rPr>
              <w:rFonts w:ascii="Times New Roman" w:hAnsi="Times New Roman" w:cs="Times New Roman"/>
              <w:b/>
              <w:bCs/>
              <w:color w:val="0D0D0D" w:themeColor="text1" w:themeTint="F2"/>
              <w:sz w:val="28"/>
              <w:szCs w:val="28"/>
            </w:rPr>
            <w:t>References</w:t>
          </w:r>
          <w:r w:rsidR="00D745F6">
            <w:rPr>
              <w:rFonts w:ascii="Times New Roman" w:hAnsi="Times New Roman" w:cs="Times New Roman"/>
              <w:b/>
              <w:bCs/>
              <w:color w:val="0D0D0D" w:themeColor="text1" w:themeTint="F2"/>
              <w:sz w:val="28"/>
              <w:szCs w:val="28"/>
            </w:rPr>
            <w:t xml:space="preserve"> </w:t>
          </w:r>
        </w:p>
        <w:sdt>
          <w:sdtPr>
            <w:id w:val="-573587230"/>
            <w:bibliography/>
          </w:sdtPr>
          <w:sdtEndPr>
            <w:rPr>
              <w:rFonts w:ascii="Times New Roman" w:hAnsi="Times New Roman" w:cs="Times New Roman"/>
              <w:sz w:val="24"/>
              <w:szCs w:val="24"/>
            </w:rPr>
          </w:sdtEndPr>
          <w:sdtContent>
            <w:p w14:paraId="6E384394" w14:textId="77777777" w:rsidR="004B51A3" w:rsidRPr="004B51A3" w:rsidRDefault="004B51A3" w:rsidP="004B51A3">
              <w:pPr>
                <w:pStyle w:val="Bibliography"/>
                <w:spacing w:line="480" w:lineRule="auto"/>
                <w:ind w:left="720" w:hanging="720"/>
                <w:rPr>
                  <w:rFonts w:ascii="Times New Roman" w:hAnsi="Times New Roman" w:cs="Times New Roman"/>
                  <w:noProof/>
                  <w:sz w:val="24"/>
                  <w:szCs w:val="24"/>
                  <w:lang w:val="en-US"/>
                </w:rPr>
              </w:pPr>
              <w:r w:rsidRPr="004B51A3">
                <w:rPr>
                  <w:rFonts w:ascii="Times New Roman" w:hAnsi="Times New Roman" w:cs="Times New Roman"/>
                  <w:sz w:val="24"/>
                  <w:szCs w:val="24"/>
                </w:rPr>
                <w:fldChar w:fldCharType="begin"/>
              </w:r>
              <w:r w:rsidRPr="004B51A3">
                <w:rPr>
                  <w:rFonts w:ascii="Times New Roman" w:hAnsi="Times New Roman" w:cs="Times New Roman"/>
                  <w:sz w:val="24"/>
                  <w:szCs w:val="24"/>
                </w:rPr>
                <w:instrText xml:space="preserve"> BIBLIOGRAPHY </w:instrText>
              </w:r>
              <w:r w:rsidRPr="004B51A3">
                <w:rPr>
                  <w:rFonts w:ascii="Times New Roman" w:hAnsi="Times New Roman" w:cs="Times New Roman"/>
                  <w:sz w:val="24"/>
                  <w:szCs w:val="24"/>
                </w:rPr>
                <w:fldChar w:fldCharType="separate"/>
              </w:r>
              <w:r w:rsidRPr="004B51A3">
                <w:rPr>
                  <w:rFonts w:ascii="Times New Roman" w:hAnsi="Times New Roman" w:cs="Times New Roman"/>
                  <w:noProof/>
                  <w:sz w:val="24"/>
                  <w:szCs w:val="24"/>
                  <w:lang w:val="en-US"/>
                </w:rPr>
                <w:t xml:space="preserve">Borham Yoon, Y. C. (2017, November 27). Consumer Attitude and Visit Intention toward Food-Trucks: Targeting Millennials. </w:t>
              </w:r>
              <w:r w:rsidRPr="004B51A3">
                <w:rPr>
                  <w:rFonts w:ascii="Times New Roman" w:hAnsi="Times New Roman" w:cs="Times New Roman"/>
                  <w:i/>
                  <w:iCs/>
                  <w:noProof/>
                  <w:sz w:val="24"/>
                  <w:szCs w:val="24"/>
                  <w:lang w:val="en-US"/>
                </w:rPr>
                <w:t>Journal of Foodservice Business Research</w:t>
              </w:r>
              <w:r w:rsidRPr="004B51A3">
                <w:rPr>
                  <w:rFonts w:ascii="Times New Roman" w:hAnsi="Times New Roman" w:cs="Times New Roman"/>
                  <w:noProof/>
                  <w:sz w:val="24"/>
                  <w:szCs w:val="24"/>
                  <w:lang w:val="en-US"/>
                </w:rPr>
                <w:t>, pp. 187-199.</w:t>
              </w:r>
            </w:p>
            <w:p w14:paraId="7F8565F2" w14:textId="77777777" w:rsidR="004B51A3" w:rsidRPr="004B51A3" w:rsidRDefault="004B51A3" w:rsidP="004B51A3">
              <w:pPr>
                <w:pStyle w:val="Bibliography"/>
                <w:spacing w:line="480" w:lineRule="auto"/>
                <w:ind w:left="720" w:hanging="720"/>
                <w:rPr>
                  <w:rFonts w:ascii="Times New Roman" w:hAnsi="Times New Roman" w:cs="Times New Roman"/>
                  <w:noProof/>
                  <w:sz w:val="24"/>
                  <w:szCs w:val="24"/>
                  <w:lang w:val="en-US"/>
                </w:rPr>
              </w:pPr>
              <w:r w:rsidRPr="004B51A3">
                <w:rPr>
                  <w:rFonts w:ascii="Times New Roman" w:hAnsi="Times New Roman" w:cs="Times New Roman"/>
                  <w:noProof/>
                  <w:sz w:val="24"/>
                  <w:szCs w:val="24"/>
                  <w:lang w:val="en-US"/>
                </w:rPr>
                <w:t xml:space="preserve">Caldwell, A. (2011). Will tweet for food: microblogging mobile food trucks–online, offline and in Line. In C. C. Psyche Williams Forson, </w:t>
              </w:r>
              <w:r w:rsidRPr="004B51A3">
                <w:rPr>
                  <w:rFonts w:ascii="Times New Roman" w:hAnsi="Times New Roman" w:cs="Times New Roman"/>
                  <w:i/>
                  <w:iCs/>
                  <w:noProof/>
                  <w:sz w:val="24"/>
                  <w:szCs w:val="24"/>
                  <w:lang w:val="en-US"/>
                </w:rPr>
                <w:t>Taking Food Public: Redefining Foodways in a Changing World</w:t>
              </w:r>
              <w:r w:rsidRPr="004B51A3">
                <w:rPr>
                  <w:rFonts w:ascii="Times New Roman" w:hAnsi="Times New Roman" w:cs="Times New Roman"/>
                  <w:noProof/>
                  <w:sz w:val="24"/>
                  <w:szCs w:val="24"/>
                  <w:lang w:val="en-US"/>
                </w:rPr>
                <w:t xml:space="preserve"> (pp. 306-310). Chicago: Routledge.</w:t>
              </w:r>
            </w:p>
            <w:p w14:paraId="3BA4E562" w14:textId="77777777" w:rsidR="004B51A3" w:rsidRPr="004B51A3" w:rsidRDefault="004B51A3" w:rsidP="004B51A3">
              <w:pPr>
                <w:pStyle w:val="Bibliography"/>
                <w:spacing w:line="480" w:lineRule="auto"/>
                <w:ind w:left="720" w:hanging="720"/>
                <w:rPr>
                  <w:rFonts w:ascii="Times New Roman" w:hAnsi="Times New Roman" w:cs="Times New Roman"/>
                  <w:noProof/>
                  <w:sz w:val="24"/>
                  <w:szCs w:val="24"/>
                  <w:lang w:val="en-US"/>
                </w:rPr>
              </w:pPr>
              <w:r w:rsidRPr="004B51A3">
                <w:rPr>
                  <w:rFonts w:ascii="Times New Roman" w:hAnsi="Times New Roman" w:cs="Times New Roman"/>
                  <w:noProof/>
                  <w:sz w:val="24"/>
                  <w:szCs w:val="24"/>
                  <w:lang w:val="en-US"/>
                </w:rPr>
                <w:t xml:space="preserve">Kate., K. (2016). </w:t>
              </w:r>
              <w:r w:rsidRPr="004B51A3">
                <w:rPr>
                  <w:rFonts w:ascii="Times New Roman" w:hAnsi="Times New Roman" w:cs="Times New Roman"/>
                  <w:i/>
                  <w:iCs/>
                  <w:noProof/>
                  <w:sz w:val="24"/>
                  <w:szCs w:val="24"/>
                  <w:lang w:val="en-US"/>
                </w:rPr>
                <w:t>How do food trucks serve-up community, .</w:t>
              </w:r>
              <w:r w:rsidRPr="004B51A3">
                <w:rPr>
                  <w:rFonts w:ascii="Times New Roman" w:hAnsi="Times New Roman" w:cs="Times New Roman"/>
                  <w:noProof/>
                  <w:sz w:val="24"/>
                  <w:szCs w:val="24"/>
                  <w:lang w:val="en-US"/>
                </w:rPr>
                <w:t xml:space="preserve"> Canada: Royal Roads University.</w:t>
              </w:r>
            </w:p>
            <w:p w14:paraId="7B1FA642" w14:textId="094C1480" w:rsidR="004B51A3" w:rsidRPr="004B51A3" w:rsidRDefault="004B51A3" w:rsidP="004B51A3">
              <w:pPr>
                <w:spacing w:line="480" w:lineRule="auto"/>
                <w:rPr>
                  <w:rFonts w:ascii="Times New Roman" w:hAnsi="Times New Roman" w:cs="Times New Roman"/>
                  <w:sz w:val="24"/>
                  <w:szCs w:val="24"/>
                </w:rPr>
              </w:pPr>
              <w:r w:rsidRPr="004B51A3">
                <w:rPr>
                  <w:rFonts w:ascii="Times New Roman" w:hAnsi="Times New Roman" w:cs="Times New Roman"/>
                  <w:b/>
                  <w:bCs/>
                  <w:noProof/>
                  <w:sz w:val="24"/>
                  <w:szCs w:val="24"/>
                </w:rPr>
                <w:fldChar w:fldCharType="end"/>
              </w:r>
            </w:p>
          </w:sdtContent>
        </w:sdt>
      </w:sdtContent>
    </w:sdt>
    <w:p w14:paraId="41F5737F" w14:textId="77777777" w:rsidR="004B51A3"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2F6DBDAB" w14:textId="77777777" w:rsidR="004B51A3" w:rsidRPr="00F062F6" w:rsidRDefault="004B51A3" w:rsidP="00F062F6">
      <w:pPr>
        <w:shd w:val="clear" w:color="auto" w:fill="FFFFFF"/>
        <w:spacing w:after="0" w:line="480" w:lineRule="auto"/>
        <w:rPr>
          <w:rFonts w:ascii="Times New Roman" w:eastAsia="Times New Roman" w:hAnsi="Times New Roman" w:cs="Times New Roman"/>
          <w:color w:val="000000"/>
          <w:sz w:val="24"/>
          <w:szCs w:val="24"/>
          <w:lang w:eastAsia="en-GB"/>
        </w:rPr>
      </w:pPr>
    </w:p>
    <w:p w14:paraId="57E0D9B3" w14:textId="608FB680" w:rsidR="00A35B80" w:rsidRDefault="00A35B80">
      <w:pPr>
        <w:rPr>
          <w:rFonts w:ascii="Times New Roman" w:hAnsi="Times New Roman" w:cs="Times New Roman"/>
          <w:sz w:val="24"/>
          <w:szCs w:val="24"/>
        </w:rPr>
      </w:pPr>
      <w:r>
        <w:rPr>
          <w:rFonts w:ascii="Times New Roman" w:hAnsi="Times New Roman" w:cs="Times New Roman"/>
          <w:sz w:val="24"/>
          <w:szCs w:val="24"/>
        </w:rPr>
        <w:br w:type="page"/>
      </w:r>
    </w:p>
    <w:p w14:paraId="04593302" w14:textId="77777777" w:rsidR="009B15BA" w:rsidRPr="00F8623A" w:rsidRDefault="009B15BA" w:rsidP="008368E1">
      <w:pPr>
        <w:shd w:val="clear" w:color="auto" w:fill="FFFFFF"/>
        <w:spacing w:after="0" w:line="480" w:lineRule="auto"/>
        <w:rPr>
          <w:rFonts w:ascii="Times New Roman" w:hAnsi="Times New Roman" w:cs="Times New Roman"/>
          <w:sz w:val="24"/>
          <w:szCs w:val="24"/>
        </w:rPr>
      </w:pPr>
    </w:p>
    <w:sectPr w:rsidR="009B15BA" w:rsidRPr="00F8623A" w:rsidSect="00712BA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B906B" w14:textId="77777777" w:rsidR="00A124F4" w:rsidRDefault="00A124F4" w:rsidP="00A35B80">
      <w:pPr>
        <w:spacing w:after="0" w:line="240" w:lineRule="auto"/>
      </w:pPr>
      <w:r>
        <w:separator/>
      </w:r>
    </w:p>
  </w:endnote>
  <w:endnote w:type="continuationSeparator" w:id="0">
    <w:p w14:paraId="3FA03B95" w14:textId="77777777" w:rsidR="00A124F4" w:rsidRDefault="00A124F4" w:rsidP="00A35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CCEAA" w14:textId="77777777" w:rsidR="00A124F4" w:rsidRDefault="00A124F4" w:rsidP="00A35B80">
      <w:pPr>
        <w:spacing w:after="0" w:line="240" w:lineRule="auto"/>
      </w:pPr>
      <w:r>
        <w:separator/>
      </w:r>
    </w:p>
  </w:footnote>
  <w:footnote w:type="continuationSeparator" w:id="0">
    <w:p w14:paraId="21D3FD75" w14:textId="77777777" w:rsidR="00A124F4" w:rsidRDefault="00A124F4" w:rsidP="00A35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540037"/>
      <w:docPartObj>
        <w:docPartGallery w:val="Page Numbers (Top of Page)"/>
        <w:docPartUnique/>
      </w:docPartObj>
    </w:sdtPr>
    <w:sdtEndPr>
      <w:rPr>
        <w:noProof/>
      </w:rPr>
    </w:sdtEndPr>
    <w:sdtContent>
      <w:p w14:paraId="223DEB4C" w14:textId="77E352CB" w:rsidR="00A35B80" w:rsidRDefault="00A35B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6FDE5B" w14:textId="77777777" w:rsidR="00A35B80" w:rsidRDefault="00A35B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237"/>
    <w:rsid w:val="00051BA3"/>
    <w:rsid w:val="00081E07"/>
    <w:rsid w:val="000D5956"/>
    <w:rsid w:val="000E4880"/>
    <w:rsid w:val="001466EE"/>
    <w:rsid w:val="001875AB"/>
    <w:rsid w:val="001D6C2B"/>
    <w:rsid w:val="00280771"/>
    <w:rsid w:val="002833C3"/>
    <w:rsid w:val="002836A0"/>
    <w:rsid w:val="00295C44"/>
    <w:rsid w:val="002F22B2"/>
    <w:rsid w:val="00365791"/>
    <w:rsid w:val="0038618F"/>
    <w:rsid w:val="00390DFB"/>
    <w:rsid w:val="00410BE9"/>
    <w:rsid w:val="00426B03"/>
    <w:rsid w:val="00447302"/>
    <w:rsid w:val="004B51A3"/>
    <w:rsid w:val="004C4C88"/>
    <w:rsid w:val="004D5B68"/>
    <w:rsid w:val="004F0C73"/>
    <w:rsid w:val="00507603"/>
    <w:rsid w:val="00513890"/>
    <w:rsid w:val="00594436"/>
    <w:rsid w:val="005A0BE7"/>
    <w:rsid w:val="005D7DD1"/>
    <w:rsid w:val="00613B6F"/>
    <w:rsid w:val="006870A2"/>
    <w:rsid w:val="006A0430"/>
    <w:rsid w:val="006D5CBA"/>
    <w:rsid w:val="0070545C"/>
    <w:rsid w:val="00710D1D"/>
    <w:rsid w:val="00712BA7"/>
    <w:rsid w:val="00745AB8"/>
    <w:rsid w:val="007827DA"/>
    <w:rsid w:val="0082103D"/>
    <w:rsid w:val="008368E1"/>
    <w:rsid w:val="008405E9"/>
    <w:rsid w:val="0085240C"/>
    <w:rsid w:val="00870C3A"/>
    <w:rsid w:val="00890BC0"/>
    <w:rsid w:val="008D0A4E"/>
    <w:rsid w:val="008E0128"/>
    <w:rsid w:val="008F155F"/>
    <w:rsid w:val="00921001"/>
    <w:rsid w:val="009B15BA"/>
    <w:rsid w:val="009C7BCF"/>
    <w:rsid w:val="009D01ED"/>
    <w:rsid w:val="00A124F4"/>
    <w:rsid w:val="00A35B80"/>
    <w:rsid w:val="00A445D0"/>
    <w:rsid w:val="00A629D7"/>
    <w:rsid w:val="00AB6A08"/>
    <w:rsid w:val="00AD5552"/>
    <w:rsid w:val="00AF4E04"/>
    <w:rsid w:val="00B430B9"/>
    <w:rsid w:val="00B50876"/>
    <w:rsid w:val="00B50A83"/>
    <w:rsid w:val="00B57403"/>
    <w:rsid w:val="00B60863"/>
    <w:rsid w:val="00BA31BD"/>
    <w:rsid w:val="00BB071F"/>
    <w:rsid w:val="00C17C33"/>
    <w:rsid w:val="00C34D51"/>
    <w:rsid w:val="00C554AB"/>
    <w:rsid w:val="00C86C02"/>
    <w:rsid w:val="00C9473A"/>
    <w:rsid w:val="00D02617"/>
    <w:rsid w:val="00D60D71"/>
    <w:rsid w:val="00D63A42"/>
    <w:rsid w:val="00D745F6"/>
    <w:rsid w:val="00E12A31"/>
    <w:rsid w:val="00E17237"/>
    <w:rsid w:val="00E60B99"/>
    <w:rsid w:val="00E6209C"/>
    <w:rsid w:val="00E734B5"/>
    <w:rsid w:val="00EB7187"/>
    <w:rsid w:val="00ED4217"/>
    <w:rsid w:val="00ED4FE6"/>
    <w:rsid w:val="00F062F6"/>
    <w:rsid w:val="00F4468E"/>
    <w:rsid w:val="00F45B95"/>
    <w:rsid w:val="00F80C75"/>
    <w:rsid w:val="00F8623A"/>
    <w:rsid w:val="00FE12EE"/>
    <w:rsid w:val="00FF0A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69C8"/>
  <w15:chartTrackingRefBased/>
  <w15:docId w15:val="{7484D66F-FC26-4E27-93E7-563A487D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1A3"/>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B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B80"/>
  </w:style>
  <w:style w:type="paragraph" w:styleId="Footer">
    <w:name w:val="footer"/>
    <w:basedOn w:val="Normal"/>
    <w:link w:val="FooterChar"/>
    <w:uiPriority w:val="99"/>
    <w:unhideWhenUsed/>
    <w:rsid w:val="00A35B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B80"/>
  </w:style>
  <w:style w:type="character" w:customStyle="1" w:styleId="Heading1Char">
    <w:name w:val="Heading 1 Char"/>
    <w:basedOn w:val="DefaultParagraphFont"/>
    <w:link w:val="Heading1"/>
    <w:uiPriority w:val="9"/>
    <w:rsid w:val="004B51A3"/>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4B5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3115">
      <w:bodyDiv w:val="1"/>
      <w:marLeft w:val="0"/>
      <w:marRight w:val="0"/>
      <w:marTop w:val="0"/>
      <w:marBottom w:val="0"/>
      <w:divBdr>
        <w:top w:val="none" w:sz="0" w:space="0" w:color="auto"/>
        <w:left w:val="none" w:sz="0" w:space="0" w:color="auto"/>
        <w:bottom w:val="none" w:sz="0" w:space="0" w:color="auto"/>
        <w:right w:val="none" w:sz="0" w:space="0" w:color="auto"/>
      </w:divBdr>
    </w:div>
    <w:div w:id="401366038">
      <w:bodyDiv w:val="1"/>
      <w:marLeft w:val="0"/>
      <w:marRight w:val="0"/>
      <w:marTop w:val="0"/>
      <w:marBottom w:val="0"/>
      <w:divBdr>
        <w:top w:val="none" w:sz="0" w:space="0" w:color="auto"/>
        <w:left w:val="none" w:sz="0" w:space="0" w:color="auto"/>
        <w:bottom w:val="none" w:sz="0" w:space="0" w:color="auto"/>
        <w:right w:val="none" w:sz="0" w:space="0" w:color="auto"/>
      </w:divBdr>
    </w:div>
    <w:div w:id="499732598">
      <w:bodyDiv w:val="1"/>
      <w:marLeft w:val="0"/>
      <w:marRight w:val="0"/>
      <w:marTop w:val="0"/>
      <w:marBottom w:val="0"/>
      <w:divBdr>
        <w:top w:val="none" w:sz="0" w:space="0" w:color="auto"/>
        <w:left w:val="none" w:sz="0" w:space="0" w:color="auto"/>
        <w:bottom w:val="none" w:sz="0" w:space="0" w:color="auto"/>
        <w:right w:val="none" w:sz="0" w:space="0" w:color="auto"/>
      </w:divBdr>
    </w:div>
    <w:div w:id="507870278">
      <w:bodyDiv w:val="1"/>
      <w:marLeft w:val="0"/>
      <w:marRight w:val="0"/>
      <w:marTop w:val="0"/>
      <w:marBottom w:val="0"/>
      <w:divBdr>
        <w:top w:val="none" w:sz="0" w:space="0" w:color="auto"/>
        <w:left w:val="none" w:sz="0" w:space="0" w:color="auto"/>
        <w:bottom w:val="none" w:sz="0" w:space="0" w:color="auto"/>
        <w:right w:val="none" w:sz="0" w:space="0" w:color="auto"/>
      </w:divBdr>
    </w:div>
    <w:div w:id="527455558">
      <w:bodyDiv w:val="1"/>
      <w:marLeft w:val="0"/>
      <w:marRight w:val="0"/>
      <w:marTop w:val="0"/>
      <w:marBottom w:val="0"/>
      <w:divBdr>
        <w:top w:val="none" w:sz="0" w:space="0" w:color="auto"/>
        <w:left w:val="none" w:sz="0" w:space="0" w:color="auto"/>
        <w:bottom w:val="none" w:sz="0" w:space="0" w:color="auto"/>
        <w:right w:val="none" w:sz="0" w:space="0" w:color="auto"/>
      </w:divBdr>
    </w:div>
    <w:div w:id="802579252">
      <w:bodyDiv w:val="1"/>
      <w:marLeft w:val="0"/>
      <w:marRight w:val="0"/>
      <w:marTop w:val="0"/>
      <w:marBottom w:val="0"/>
      <w:divBdr>
        <w:top w:val="none" w:sz="0" w:space="0" w:color="auto"/>
        <w:left w:val="none" w:sz="0" w:space="0" w:color="auto"/>
        <w:bottom w:val="none" w:sz="0" w:space="0" w:color="auto"/>
        <w:right w:val="none" w:sz="0" w:space="0" w:color="auto"/>
      </w:divBdr>
    </w:div>
    <w:div w:id="924731535">
      <w:bodyDiv w:val="1"/>
      <w:marLeft w:val="0"/>
      <w:marRight w:val="0"/>
      <w:marTop w:val="0"/>
      <w:marBottom w:val="0"/>
      <w:divBdr>
        <w:top w:val="none" w:sz="0" w:space="0" w:color="auto"/>
        <w:left w:val="none" w:sz="0" w:space="0" w:color="auto"/>
        <w:bottom w:val="none" w:sz="0" w:space="0" w:color="auto"/>
        <w:right w:val="none" w:sz="0" w:space="0" w:color="auto"/>
      </w:divBdr>
    </w:div>
    <w:div w:id="946280707">
      <w:bodyDiv w:val="1"/>
      <w:marLeft w:val="0"/>
      <w:marRight w:val="0"/>
      <w:marTop w:val="0"/>
      <w:marBottom w:val="0"/>
      <w:divBdr>
        <w:top w:val="none" w:sz="0" w:space="0" w:color="auto"/>
        <w:left w:val="none" w:sz="0" w:space="0" w:color="auto"/>
        <w:bottom w:val="none" w:sz="0" w:space="0" w:color="auto"/>
        <w:right w:val="none" w:sz="0" w:space="0" w:color="auto"/>
      </w:divBdr>
    </w:div>
    <w:div w:id="1035076566">
      <w:bodyDiv w:val="1"/>
      <w:marLeft w:val="0"/>
      <w:marRight w:val="0"/>
      <w:marTop w:val="0"/>
      <w:marBottom w:val="0"/>
      <w:divBdr>
        <w:top w:val="none" w:sz="0" w:space="0" w:color="auto"/>
        <w:left w:val="none" w:sz="0" w:space="0" w:color="auto"/>
        <w:bottom w:val="none" w:sz="0" w:space="0" w:color="auto"/>
        <w:right w:val="none" w:sz="0" w:space="0" w:color="auto"/>
      </w:divBdr>
    </w:div>
    <w:div w:id="1278676069">
      <w:bodyDiv w:val="1"/>
      <w:marLeft w:val="0"/>
      <w:marRight w:val="0"/>
      <w:marTop w:val="0"/>
      <w:marBottom w:val="0"/>
      <w:divBdr>
        <w:top w:val="none" w:sz="0" w:space="0" w:color="auto"/>
        <w:left w:val="none" w:sz="0" w:space="0" w:color="auto"/>
        <w:bottom w:val="none" w:sz="0" w:space="0" w:color="auto"/>
        <w:right w:val="none" w:sz="0" w:space="0" w:color="auto"/>
      </w:divBdr>
    </w:div>
    <w:div w:id="1353648955">
      <w:bodyDiv w:val="1"/>
      <w:marLeft w:val="0"/>
      <w:marRight w:val="0"/>
      <w:marTop w:val="0"/>
      <w:marBottom w:val="0"/>
      <w:divBdr>
        <w:top w:val="none" w:sz="0" w:space="0" w:color="auto"/>
        <w:left w:val="none" w:sz="0" w:space="0" w:color="auto"/>
        <w:bottom w:val="none" w:sz="0" w:space="0" w:color="auto"/>
        <w:right w:val="none" w:sz="0" w:space="0" w:color="auto"/>
      </w:divBdr>
    </w:div>
    <w:div w:id="1393427725">
      <w:bodyDiv w:val="1"/>
      <w:marLeft w:val="0"/>
      <w:marRight w:val="0"/>
      <w:marTop w:val="0"/>
      <w:marBottom w:val="0"/>
      <w:divBdr>
        <w:top w:val="none" w:sz="0" w:space="0" w:color="auto"/>
        <w:left w:val="none" w:sz="0" w:space="0" w:color="auto"/>
        <w:bottom w:val="none" w:sz="0" w:space="0" w:color="auto"/>
        <w:right w:val="none" w:sz="0" w:space="0" w:color="auto"/>
      </w:divBdr>
      <w:divsChild>
        <w:div w:id="1249383297">
          <w:marLeft w:val="0"/>
          <w:marRight w:val="0"/>
          <w:marTop w:val="0"/>
          <w:marBottom w:val="0"/>
          <w:divBdr>
            <w:top w:val="none" w:sz="0" w:space="0" w:color="auto"/>
            <w:left w:val="none" w:sz="0" w:space="0" w:color="auto"/>
            <w:bottom w:val="none" w:sz="0" w:space="0" w:color="auto"/>
            <w:right w:val="none" w:sz="0" w:space="0" w:color="auto"/>
          </w:divBdr>
        </w:div>
      </w:divsChild>
    </w:div>
    <w:div w:id="1577399268">
      <w:bodyDiv w:val="1"/>
      <w:marLeft w:val="0"/>
      <w:marRight w:val="0"/>
      <w:marTop w:val="0"/>
      <w:marBottom w:val="0"/>
      <w:divBdr>
        <w:top w:val="none" w:sz="0" w:space="0" w:color="auto"/>
        <w:left w:val="none" w:sz="0" w:space="0" w:color="auto"/>
        <w:bottom w:val="none" w:sz="0" w:space="0" w:color="auto"/>
        <w:right w:val="none" w:sz="0" w:space="0" w:color="auto"/>
      </w:divBdr>
    </w:div>
    <w:div w:id="1726097746">
      <w:bodyDiv w:val="1"/>
      <w:marLeft w:val="0"/>
      <w:marRight w:val="0"/>
      <w:marTop w:val="0"/>
      <w:marBottom w:val="0"/>
      <w:divBdr>
        <w:top w:val="none" w:sz="0" w:space="0" w:color="auto"/>
        <w:left w:val="none" w:sz="0" w:space="0" w:color="auto"/>
        <w:bottom w:val="none" w:sz="0" w:space="0" w:color="auto"/>
        <w:right w:val="none" w:sz="0" w:space="0" w:color="auto"/>
      </w:divBdr>
    </w:div>
    <w:div w:id="1760055577">
      <w:bodyDiv w:val="1"/>
      <w:marLeft w:val="0"/>
      <w:marRight w:val="0"/>
      <w:marTop w:val="0"/>
      <w:marBottom w:val="0"/>
      <w:divBdr>
        <w:top w:val="none" w:sz="0" w:space="0" w:color="auto"/>
        <w:left w:val="none" w:sz="0" w:space="0" w:color="auto"/>
        <w:bottom w:val="none" w:sz="0" w:space="0" w:color="auto"/>
        <w:right w:val="none" w:sz="0" w:space="0" w:color="auto"/>
      </w:divBdr>
    </w:div>
    <w:div w:id="205935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Bor17</b:Tag>
    <b:SourceType>ArticleInAPeriodical</b:SourceType>
    <b:Guid>{51B0CB19-F3BF-4395-9711-91CC26C9F18E}</b:Guid>
    <b:Author>
      <b:Author>
        <b:NameList>
          <b:Person>
            <b:Last>Borham Yoon</b:Last>
            <b:First>Yeasun</b:First>
            <b:Middle>Chung</b:Middle>
          </b:Person>
        </b:NameList>
      </b:Author>
    </b:Author>
    <b:Title>Consumer Attitude and Visit Intention toward Food-Trucks: Targeting Millennials</b:Title>
    <b:JournalName>Journal of Foodservice Business Research</b:JournalName>
    <b:Year>2017</b:Year>
    <b:Pages>187-199</b:Pages>
    <b:Month>November</b:Month>
    <b:Day>27</b:Day>
    <b:PeriodicalTitle>Journal of Foodservice Business Research</b:PeriodicalTitle>
    <b:RefOrder>1</b:RefOrder>
  </b:Source>
  <b:Source>
    <b:Tag>Arm11</b:Tag>
    <b:SourceType>BookSection</b:SourceType>
    <b:Guid>{73E9D65E-1956-4E3D-A799-F162078DB253}</b:Guid>
    <b:Title>Will tweet for food: microblogging mobile food trucks–online, offline and in Line</b:Title>
    <b:Year>2011</b:Year>
    <b:Publisher>Routledge</b:Publisher>
    <b:City>Chicago</b:City>
    <b:Author>
      <b:Author>
        <b:NameList>
          <b:Person>
            <b:Last>Caldwell</b:Last>
            <b:First>Armie</b:First>
          </b:Person>
        </b:NameList>
      </b:Author>
      <b:BookAuthor>
        <b:NameList>
          <b:Person>
            <b:Last>Psyche Williams Forson</b:Last>
            <b:First>Carole</b:First>
            <b:Middle>Counihan</b:Middle>
          </b:Person>
        </b:NameList>
      </b:BookAuthor>
    </b:Author>
    <b:BookTitle>Taking Food Public: Redefining Foodways in a Changing World</b:BookTitle>
    <b:Pages>306-310</b:Pages>
    <b:RefOrder>2</b:RefOrder>
  </b:Source>
  <b:Source>
    <b:Tag>How16</b:Tag>
    <b:SourceType>Report</b:SourceType>
    <b:Guid>{79BE23A8-8E96-482E-B67D-3DB8201242A2}</b:Guid>
    <b:Title>How do food trucks serve-up community, </b:Title>
    <b:Year>2016</b:Year>
    <b:Author>
      <b:Author>
        <b:NameList>
          <b:Person>
            <b:Last>Kate.</b:Last>
            <b:First>Kristina</b:First>
          </b:Person>
        </b:NameList>
      </b:Author>
    </b:Author>
    <b:Publisher>Royal Roads University</b:Publisher>
    <b:City>Canada</b:City>
    <b:RefOrder>3</b:RefOrder>
  </b:Source>
</b:Sources>
</file>

<file path=customXml/itemProps1.xml><?xml version="1.0" encoding="utf-8"?>
<ds:datastoreItem xmlns:ds="http://schemas.openxmlformats.org/officeDocument/2006/customXml" ds:itemID="{F87FA953-83D8-46A6-BB6B-6134E11D4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2021-08-16T19:36:00Z</dcterms:created>
  <dcterms:modified xsi:type="dcterms:W3CDTF">2021-08-16T19:36:00Z</dcterms:modified>
</cp:coreProperties>
</file>